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0A9" w:rsidRDefault="0021206F" w:rsidP="002340A9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ЗВІТ</w:t>
      </w:r>
    </w:p>
    <w:p w:rsidR="0021206F" w:rsidRPr="0021206F" w:rsidRDefault="002340A9" w:rsidP="0021206F">
      <w:pPr>
        <w:pStyle w:val="TableContents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21206F">
        <w:rPr>
          <w:rFonts w:cs="Times New Roman"/>
          <w:b/>
          <w:sz w:val="28"/>
          <w:szCs w:val="28"/>
        </w:rPr>
        <w:t xml:space="preserve">про хід виконання </w:t>
      </w:r>
      <w:r w:rsidR="0021206F" w:rsidRPr="0021206F">
        <w:rPr>
          <w:b/>
          <w:sz w:val="28"/>
          <w:szCs w:val="28"/>
          <w:lang w:val="uk-UA"/>
        </w:rPr>
        <w:t>хід виконання  рішення районної ради</w:t>
      </w:r>
    </w:p>
    <w:p w:rsidR="0021206F" w:rsidRPr="0021206F" w:rsidRDefault="0021206F" w:rsidP="0021206F">
      <w:pPr>
        <w:pStyle w:val="TableContents"/>
        <w:jc w:val="center"/>
        <w:rPr>
          <w:b/>
          <w:sz w:val="28"/>
          <w:szCs w:val="28"/>
          <w:lang w:val="uk-UA"/>
        </w:rPr>
      </w:pPr>
      <w:r w:rsidRPr="0021206F">
        <w:rPr>
          <w:b/>
          <w:sz w:val="28"/>
          <w:szCs w:val="28"/>
          <w:lang w:val="uk-UA"/>
        </w:rPr>
        <w:t>від 27.01.2016 року  № 51-3/</w:t>
      </w:r>
      <w:r w:rsidRPr="0021206F">
        <w:rPr>
          <w:b/>
          <w:sz w:val="28"/>
          <w:szCs w:val="28"/>
          <w:lang w:val="en-US"/>
        </w:rPr>
        <w:t>VII</w:t>
      </w:r>
      <w:r w:rsidRPr="0021206F">
        <w:rPr>
          <w:b/>
          <w:sz w:val="28"/>
          <w:szCs w:val="28"/>
          <w:lang w:val="ru-RU"/>
        </w:rPr>
        <w:t xml:space="preserve">  «</w:t>
      </w:r>
      <w:proofErr w:type="spellStart"/>
      <w:r w:rsidRPr="0021206F">
        <w:rPr>
          <w:b/>
          <w:sz w:val="28"/>
          <w:szCs w:val="28"/>
        </w:rPr>
        <w:t>Про</w:t>
      </w:r>
      <w:proofErr w:type="spellEnd"/>
      <w:r w:rsidRPr="0021206F">
        <w:rPr>
          <w:b/>
          <w:sz w:val="28"/>
          <w:szCs w:val="28"/>
        </w:rPr>
        <w:t xml:space="preserve"> </w:t>
      </w:r>
      <w:proofErr w:type="spellStart"/>
      <w:r w:rsidRPr="0021206F">
        <w:rPr>
          <w:b/>
          <w:sz w:val="28"/>
          <w:szCs w:val="28"/>
        </w:rPr>
        <w:t>затвердження</w:t>
      </w:r>
      <w:proofErr w:type="spellEnd"/>
    </w:p>
    <w:p w:rsidR="0021206F" w:rsidRPr="0021206F" w:rsidRDefault="0021206F" w:rsidP="0021206F">
      <w:pPr>
        <w:pStyle w:val="TableContents"/>
        <w:jc w:val="center"/>
        <w:rPr>
          <w:b/>
          <w:sz w:val="28"/>
          <w:szCs w:val="28"/>
          <w:lang w:val="uk-UA"/>
        </w:rPr>
      </w:pPr>
      <w:r w:rsidRPr="0021206F">
        <w:rPr>
          <w:b/>
          <w:sz w:val="28"/>
          <w:szCs w:val="28"/>
          <w:lang w:val="uk-UA"/>
        </w:rPr>
        <w:t>цільової соціальної програми   розвитку цивільного</w:t>
      </w:r>
    </w:p>
    <w:p w:rsidR="0021206F" w:rsidRPr="0021206F" w:rsidRDefault="0021206F" w:rsidP="0021206F">
      <w:pPr>
        <w:pStyle w:val="TableContents"/>
        <w:jc w:val="center"/>
        <w:rPr>
          <w:b/>
          <w:color w:val="000000"/>
          <w:sz w:val="28"/>
          <w:szCs w:val="28"/>
          <w:lang w:val="uk-UA"/>
        </w:rPr>
      </w:pPr>
      <w:r w:rsidRPr="0021206F">
        <w:rPr>
          <w:b/>
          <w:sz w:val="28"/>
          <w:szCs w:val="28"/>
          <w:lang w:val="uk-UA"/>
        </w:rPr>
        <w:t>захисту в Синельниківському  районі на 2016 – 2018 роки</w:t>
      </w:r>
      <w:r w:rsidRPr="0021206F">
        <w:rPr>
          <w:b/>
          <w:color w:val="000000"/>
          <w:sz w:val="28"/>
          <w:szCs w:val="28"/>
          <w:lang w:val="uk-UA"/>
        </w:rPr>
        <w:t>»</w:t>
      </w:r>
    </w:p>
    <w:p w:rsidR="002340A9" w:rsidRDefault="002340A9" w:rsidP="002340A9">
      <w:pPr>
        <w:ind w:firstLine="684"/>
        <w:jc w:val="center"/>
        <w:rPr>
          <w:rFonts w:cs="Times New Roman"/>
          <w:b/>
          <w:sz w:val="28"/>
          <w:szCs w:val="28"/>
        </w:rPr>
      </w:pPr>
    </w:p>
    <w:p w:rsidR="002340A9" w:rsidRDefault="002340A9" w:rsidP="002340A9">
      <w:pPr>
        <w:ind w:right="96" w:firstLine="6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Метою прийняття Програми є захист</w:t>
      </w:r>
      <w:r>
        <w:rPr>
          <w:rFonts w:cs="Times New Roman"/>
          <w:color w:val="000000"/>
          <w:sz w:val="28"/>
          <w:szCs w:val="28"/>
        </w:rPr>
        <w:t xml:space="preserve"> населення і територій району від надзвичайних ситуацій техногенного та природного характеру в мирний час і в особливий період, запобігання виникненню можливих надзвичайних ситуацій і мінімізація їх наслідків</w:t>
      </w:r>
      <w:r>
        <w:rPr>
          <w:rFonts w:cs="Times New Roman"/>
          <w:sz w:val="28"/>
          <w:szCs w:val="28"/>
        </w:rPr>
        <w:t>.</w:t>
      </w:r>
    </w:p>
    <w:p w:rsidR="002340A9" w:rsidRDefault="002340A9" w:rsidP="002340A9">
      <w:pPr>
        <w:shd w:val="clear" w:color="auto" w:fill="FFFFFF"/>
        <w:ind w:firstLine="6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Синельниківський район є зоною ризику виникнення аварій і катастроф техногенного та природного погодження, а саме на території району розміщено 62 потенційно та </w:t>
      </w:r>
      <w:proofErr w:type="spellStart"/>
      <w:r>
        <w:rPr>
          <w:rFonts w:cs="Times New Roman"/>
          <w:sz w:val="28"/>
          <w:szCs w:val="28"/>
        </w:rPr>
        <w:t>пожежонебезпечних</w:t>
      </w:r>
      <w:proofErr w:type="spellEnd"/>
      <w:r>
        <w:rPr>
          <w:rFonts w:cs="Times New Roman"/>
          <w:sz w:val="28"/>
          <w:szCs w:val="28"/>
        </w:rPr>
        <w:t xml:space="preserve"> для населення об’єктів. Аміакопровод </w:t>
      </w:r>
      <w:proofErr w:type="spellStart"/>
      <w:r>
        <w:rPr>
          <w:rFonts w:cs="Times New Roman"/>
          <w:sz w:val="28"/>
          <w:szCs w:val="28"/>
        </w:rPr>
        <w:t>Тольятті-Одеса</w:t>
      </w:r>
      <w:proofErr w:type="spellEnd"/>
      <w:r>
        <w:rPr>
          <w:rFonts w:cs="Times New Roman"/>
          <w:sz w:val="28"/>
          <w:szCs w:val="28"/>
        </w:rPr>
        <w:t xml:space="preserve">, який проходить по території району протягом </w:t>
      </w:r>
      <w:smartTag w:uri="urn:schemas-microsoft-com:office:smarttags" w:element="metricconverter">
        <w:smartTagPr>
          <w:attr w:name="ProductID" w:val="56 км"/>
        </w:smartTagPr>
        <w:r>
          <w:rPr>
            <w:rFonts w:cs="Times New Roman"/>
            <w:sz w:val="28"/>
            <w:szCs w:val="28"/>
          </w:rPr>
          <w:t>56 км</w:t>
        </w:r>
      </w:smartTag>
      <w:r>
        <w:rPr>
          <w:rFonts w:cs="Times New Roman"/>
          <w:sz w:val="28"/>
          <w:szCs w:val="28"/>
        </w:rPr>
        <w:t xml:space="preserve"> (21% від довжини, яка проходить по території області) і по якому транспортуються сотні тонн аміаку при тиску 79 </w:t>
      </w:r>
      <w:proofErr w:type="spellStart"/>
      <w:r>
        <w:rPr>
          <w:rFonts w:cs="Times New Roman"/>
          <w:sz w:val="28"/>
          <w:szCs w:val="28"/>
        </w:rPr>
        <w:t>атм</w:t>
      </w:r>
      <w:proofErr w:type="spellEnd"/>
      <w:r>
        <w:rPr>
          <w:rFonts w:cs="Times New Roman"/>
          <w:sz w:val="28"/>
          <w:szCs w:val="28"/>
        </w:rPr>
        <w:t xml:space="preserve">. в трубопроводі. У разі виникнення аварії на цій чи іншій ділянці можливий викид в атмосферу аміаку до 300 тонн і в зону ураження попадають до 1000 чол. (район частково входить у </w:t>
      </w:r>
      <w:smartTag w:uri="urn:schemas-microsoft-com:office:smarttags" w:element="metricconverter">
        <w:smartTagPr>
          <w:attr w:name="ProductID" w:val="70 км"/>
        </w:smartTagPr>
        <w:r>
          <w:rPr>
            <w:rFonts w:cs="Times New Roman"/>
            <w:sz w:val="28"/>
            <w:szCs w:val="28"/>
          </w:rPr>
          <w:t>70 км</w:t>
        </w:r>
      </w:smartTag>
      <w:r>
        <w:rPr>
          <w:rFonts w:cs="Times New Roman"/>
          <w:sz w:val="28"/>
          <w:szCs w:val="28"/>
        </w:rPr>
        <w:t xml:space="preserve"> зону від Запорізької  АЕС). З  кожним роком збільшується кількість природних катаклізмів (штормовий вітер, крупний град, сильний дощ, снігові замети, ожеледиця, мороз, високі рівні води, паводки та підтоплення). Район також перетинає залізниця, по якій перевозяться цистерни з сильнодіючими речовинами (хлор, аміак, паливо-мастильні </w:t>
      </w:r>
      <w:proofErr w:type="spellStart"/>
      <w:r>
        <w:rPr>
          <w:rFonts w:cs="Times New Roman"/>
          <w:sz w:val="28"/>
          <w:szCs w:val="28"/>
        </w:rPr>
        <w:t>матеитпріали</w:t>
      </w:r>
      <w:proofErr w:type="spellEnd"/>
      <w:r>
        <w:rPr>
          <w:rFonts w:cs="Times New Roman"/>
          <w:sz w:val="28"/>
          <w:szCs w:val="28"/>
        </w:rPr>
        <w:t xml:space="preserve">). </w:t>
      </w:r>
    </w:p>
    <w:p w:rsidR="002340A9" w:rsidRDefault="002340A9" w:rsidP="002340A9">
      <w:pPr>
        <w:shd w:val="clear" w:color="auto" w:fill="FFFFFF"/>
        <w:ind w:firstLine="6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Аналіз надзвичайних ситуацій, що сталися в районі протягом 2016 року свідчить, що їх загальна кількість знижується у порівнянні з 2015 роком . За 2016 рік у районі виникло 81 пожеж, в яких загинуло 2 людей, травмовано 8. </w:t>
      </w:r>
    </w:p>
    <w:p w:rsidR="002340A9" w:rsidRDefault="002340A9" w:rsidP="002340A9">
      <w:pPr>
        <w:shd w:val="clear" w:color="auto" w:fill="FFFFFF"/>
        <w:ind w:firstLine="6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 2015 році зареєстровано -37 ДТП, в яких загинуло – 9 чоловік, постраждало – 43  чоловіки. В цьому році виникло   31 ДТП, в яких загинуло – 2 </w:t>
      </w:r>
      <w:proofErr w:type="spellStart"/>
      <w:r>
        <w:rPr>
          <w:rFonts w:cs="Times New Roman"/>
          <w:sz w:val="28"/>
          <w:szCs w:val="28"/>
        </w:rPr>
        <w:t>чоловікИ</w:t>
      </w:r>
      <w:proofErr w:type="spellEnd"/>
      <w:r>
        <w:rPr>
          <w:rFonts w:cs="Times New Roman"/>
          <w:sz w:val="28"/>
          <w:szCs w:val="28"/>
        </w:rPr>
        <w:t>, постраждало – 53 чоловік</w:t>
      </w:r>
      <w:r>
        <w:rPr>
          <w:rFonts w:cs="Times New Roman"/>
          <w:sz w:val="28"/>
          <w:szCs w:val="28"/>
          <w:lang w:val="ru-RU"/>
        </w:rPr>
        <w:t>и</w:t>
      </w:r>
      <w:r>
        <w:rPr>
          <w:rFonts w:cs="Times New Roman"/>
          <w:sz w:val="28"/>
          <w:szCs w:val="28"/>
        </w:rPr>
        <w:t>. Матеріальні збитки від ДТП, стихійних лих (штормових вітрів, сніжних заносів, морозів та паводкових ситуацій) складають десятки тисяч гривень.</w:t>
      </w:r>
    </w:p>
    <w:p w:rsidR="002340A9" w:rsidRDefault="002340A9" w:rsidP="002340A9">
      <w:pPr>
        <w:pStyle w:val="a4"/>
        <w:spacing w:after="0"/>
        <w:ind w:left="0" w:right="-11" w:firstLine="799"/>
        <w:jc w:val="both"/>
        <w:rPr>
          <w:sz w:val="28"/>
          <w:szCs w:val="28"/>
        </w:rPr>
      </w:pPr>
      <w:r>
        <w:rPr>
          <w:sz w:val="28"/>
          <w:szCs w:val="28"/>
        </w:rPr>
        <w:t>Щорічно з метою визначення, оцінки та прогнозування ризиків щодо виникнення НС на потенційно небезпечних об’єктах і територіях району складається паспорта ризиків. З метою визначення рівнів ризику виникнення НС  на підприємствах, установах і організаціях Синельниківського району, щорічно складаються плани першочергових (невідкладних) запобіжних заходів і робіт, що необхідно виконати на об’єктах і територіях з ризиком виникнення НС.</w:t>
      </w:r>
    </w:p>
    <w:p w:rsidR="002340A9" w:rsidRDefault="002340A9" w:rsidP="002340A9">
      <w:pPr>
        <w:pStyle w:val="TableContents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метою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упередження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загибелі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людей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  </w:t>
      </w:r>
      <w:proofErr w:type="spellStart"/>
      <w:r>
        <w:rPr>
          <w:sz w:val="28"/>
          <w:szCs w:val="28"/>
          <w:lang w:val="ru-RU"/>
        </w:rPr>
        <w:t>укладено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аварійно-рятувальним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загіном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призначення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управління</w:t>
      </w:r>
      <w:proofErr w:type="spellEnd"/>
      <w:r>
        <w:rPr>
          <w:color w:val="000000"/>
          <w:sz w:val="28"/>
          <w:szCs w:val="28"/>
        </w:rPr>
        <w:t xml:space="preserve"> ДСНС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Дніпропетровській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Проведено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протипожежного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водопостачання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сільських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потенційно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небезпечних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Рекомендовано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виконкомів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потенційно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небезпечних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привести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належний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протипожежне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водопостачання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сьогоднішній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відновлено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протипожежне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водопостачання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гідранти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забезпечені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світловидбиваючими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покажчиками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Планово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районні</w:t>
      </w:r>
      <w:proofErr w:type="spellEnd"/>
      <w:r>
        <w:rPr>
          <w:sz w:val="28"/>
          <w:szCs w:val="28"/>
        </w:rPr>
        <w:t xml:space="preserve"> ЗМІ </w:t>
      </w:r>
      <w:proofErr w:type="spellStart"/>
      <w:r>
        <w:rPr>
          <w:sz w:val="28"/>
          <w:szCs w:val="28"/>
        </w:rPr>
        <w:t>проводиться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пропаганда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життєдіяльності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району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поведінки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екстремальних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умовах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Постійно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висвітлюється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поводженні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воді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літні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зимові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наслідки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отруєнь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грибами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району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впливу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явищ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паводків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підтоплення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щорічно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проводиться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перевірка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водних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вивчається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технічний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створюється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оперативний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штаб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готовності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паводків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повені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пропуску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льодоходу</w:t>
      </w:r>
      <w:proofErr w:type="spellEnd"/>
      <w:r>
        <w:rPr>
          <w:sz w:val="28"/>
          <w:szCs w:val="28"/>
        </w:rPr>
        <w:t xml:space="preserve">.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  Синельниківської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27.01.2016 </w:t>
      </w:r>
      <w:proofErr w:type="spellStart"/>
      <w:r>
        <w:rPr>
          <w:sz w:val="28"/>
          <w:szCs w:val="28"/>
        </w:rPr>
        <w:t>року</w:t>
      </w:r>
      <w:proofErr w:type="spellEnd"/>
      <w:r>
        <w:rPr>
          <w:sz w:val="28"/>
          <w:szCs w:val="28"/>
        </w:rPr>
        <w:t xml:space="preserve"> № 51-3/VІІ </w:t>
      </w:r>
      <w:proofErr w:type="spellStart"/>
      <w:r>
        <w:rPr>
          <w:sz w:val="28"/>
          <w:szCs w:val="28"/>
        </w:rPr>
        <w:t>сільським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селищним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рекомендовано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прийняти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момент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прийняті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</w:rPr>
        <w:t>Станом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3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грудня</w:t>
      </w:r>
      <w:r>
        <w:rPr>
          <w:sz w:val="28"/>
          <w:szCs w:val="28"/>
        </w:rPr>
        <w:t xml:space="preserve"> 201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кошти з районного бюджету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 реалізацію заходів </w:t>
      </w:r>
      <w:proofErr w:type="spellStart"/>
      <w:r>
        <w:rPr>
          <w:sz w:val="28"/>
          <w:szCs w:val="28"/>
        </w:rPr>
        <w:t>цільової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в Синельниківському </w:t>
      </w:r>
      <w:proofErr w:type="spellStart"/>
      <w:r>
        <w:rPr>
          <w:sz w:val="28"/>
          <w:szCs w:val="28"/>
        </w:rPr>
        <w:t>районі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201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 – 201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роки</w:t>
      </w:r>
      <w:proofErr w:type="spellEnd"/>
      <w:r>
        <w:rPr>
          <w:sz w:val="28"/>
          <w:szCs w:val="28"/>
          <w:lang w:val="uk-UA"/>
        </w:rPr>
        <w:t xml:space="preserve"> не виділялось.</w:t>
      </w:r>
    </w:p>
    <w:p w:rsidR="002340A9" w:rsidRDefault="002340A9" w:rsidP="002340A9">
      <w:pPr>
        <w:pStyle w:val="a4"/>
        <w:ind w:left="0" w:right="-12" w:firstLine="798"/>
        <w:jc w:val="both"/>
        <w:rPr>
          <w:sz w:val="28"/>
          <w:szCs w:val="28"/>
          <w:lang w:val="de-DE"/>
        </w:rPr>
      </w:pPr>
    </w:p>
    <w:p w:rsidR="002340A9" w:rsidRDefault="002340A9" w:rsidP="002340A9">
      <w:pPr>
        <w:jc w:val="both"/>
        <w:rPr>
          <w:rFonts w:cs="Times New Roman"/>
          <w:sz w:val="28"/>
          <w:szCs w:val="28"/>
        </w:rPr>
      </w:pPr>
    </w:p>
    <w:p w:rsidR="002340A9" w:rsidRDefault="002340A9" w:rsidP="002340A9">
      <w:pPr>
        <w:jc w:val="both"/>
        <w:rPr>
          <w:rFonts w:cs="Times New Roman"/>
          <w:sz w:val="28"/>
          <w:szCs w:val="28"/>
        </w:rPr>
      </w:pPr>
    </w:p>
    <w:p w:rsidR="002340A9" w:rsidRDefault="002340A9" w:rsidP="002340A9">
      <w:pPr>
        <w:pStyle w:val="a3"/>
        <w:spacing w:before="0" w:beforeAutospacing="0" w:after="0" w:afterAutospacing="0"/>
        <w:jc w:val="both"/>
        <w:rPr>
          <w:snapToGrid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proofErr w:type="spellStart"/>
      <w:r>
        <w:rPr>
          <w:sz w:val="28"/>
          <w:szCs w:val="28"/>
        </w:rPr>
        <w:t>оловн</w:t>
      </w:r>
      <w:r>
        <w:rPr>
          <w:sz w:val="28"/>
          <w:szCs w:val="28"/>
          <w:lang w:val="uk-UA"/>
        </w:rPr>
        <w:t>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спеціаліст</w:t>
      </w:r>
      <w:proofErr w:type="spellEnd"/>
      <w:r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з </w:t>
      </w:r>
      <w:proofErr w:type="spellStart"/>
      <w:r>
        <w:rPr>
          <w:snapToGrid w:val="0"/>
          <w:sz w:val="28"/>
          <w:szCs w:val="28"/>
        </w:rPr>
        <w:t>питань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оборонної</w:t>
      </w:r>
      <w:proofErr w:type="spellEnd"/>
      <w:r>
        <w:rPr>
          <w:snapToGrid w:val="0"/>
          <w:sz w:val="28"/>
          <w:szCs w:val="28"/>
        </w:rPr>
        <w:t xml:space="preserve"> </w:t>
      </w:r>
    </w:p>
    <w:p w:rsidR="002340A9" w:rsidRDefault="002340A9" w:rsidP="002340A9">
      <w:pPr>
        <w:pStyle w:val="a3"/>
        <w:spacing w:before="0" w:beforeAutospacing="0" w:after="0" w:afterAutospacing="0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</w:rPr>
        <w:t xml:space="preserve">та </w:t>
      </w:r>
      <w:proofErr w:type="spellStart"/>
      <w:r>
        <w:rPr>
          <w:snapToGrid w:val="0"/>
          <w:sz w:val="28"/>
          <w:szCs w:val="28"/>
        </w:rPr>
        <w:t>мобілізаційної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роботи</w:t>
      </w:r>
      <w:proofErr w:type="spellEnd"/>
      <w:r>
        <w:rPr>
          <w:snapToGrid w:val="0"/>
          <w:sz w:val="28"/>
          <w:szCs w:val="28"/>
        </w:rPr>
        <w:t xml:space="preserve">, </w:t>
      </w:r>
      <w:proofErr w:type="spellStart"/>
      <w:r>
        <w:rPr>
          <w:snapToGrid w:val="0"/>
          <w:sz w:val="28"/>
          <w:szCs w:val="28"/>
        </w:rPr>
        <w:t>взаємодії</w:t>
      </w:r>
      <w:proofErr w:type="spellEnd"/>
    </w:p>
    <w:p w:rsidR="002340A9" w:rsidRDefault="002340A9" w:rsidP="002340A9">
      <w:pPr>
        <w:pStyle w:val="a3"/>
        <w:spacing w:before="0" w:beforeAutospacing="0" w:after="0" w:afterAutospacing="0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</w:rPr>
        <w:t xml:space="preserve">з </w:t>
      </w:r>
      <w:proofErr w:type="spellStart"/>
      <w:r>
        <w:rPr>
          <w:snapToGrid w:val="0"/>
          <w:sz w:val="28"/>
          <w:szCs w:val="28"/>
        </w:rPr>
        <w:t>правоохоронними</w:t>
      </w:r>
      <w:proofErr w:type="spellEnd"/>
      <w:r>
        <w:rPr>
          <w:snapToGrid w:val="0"/>
          <w:sz w:val="28"/>
          <w:szCs w:val="28"/>
        </w:rPr>
        <w:t xml:space="preserve"> органами</w:t>
      </w:r>
      <w:r>
        <w:rPr>
          <w:snapToGrid w:val="0"/>
          <w:sz w:val="28"/>
          <w:szCs w:val="28"/>
          <w:lang w:val="uk-UA"/>
        </w:rPr>
        <w:t>,</w:t>
      </w:r>
    </w:p>
    <w:p w:rsidR="002340A9" w:rsidRDefault="002340A9" w:rsidP="002340A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цивільного захисту райдержадміністрації                             О.Ю.ПЯТЕЦЬКИЙ</w:t>
      </w:r>
    </w:p>
    <w:p w:rsidR="002340A9" w:rsidRDefault="002340A9" w:rsidP="002340A9">
      <w:pPr>
        <w:ind w:firstLine="706"/>
        <w:rPr>
          <w:sz w:val="28"/>
          <w:szCs w:val="28"/>
        </w:rPr>
      </w:pPr>
    </w:p>
    <w:p w:rsidR="00593BCC" w:rsidRDefault="00593BCC"/>
    <w:sectPr w:rsidR="00593B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7F"/>
    <w:rsid w:val="00141B87"/>
    <w:rsid w:val="0021206F"/>
    <w:rsid w:val="002340A9"/>
    <w:rsid w:val="00593BCC"/>
    <w:rsid w:val="00A9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A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340A9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4">
    <w:name w:val="Body Text Indent"/>
    <w:basedOn w:val="a"/>
    <w:link w:val="a5"/>
    <w:semiHidden/>
    <w:unhideWhenUsed/>
    <w:rsid w:val="002340A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2340A9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TableContents">
    <w:name w:val="Table Contents"/>
    <w:basedOn w:val="a"/>
    <w:rsid w:val="002340A9"/>
    <w:pPr>
      <w:suppressLineNumbers/>
    </w:pPr>
    <w:rPr>
      <w:lang w:val="de-DE"/>
    </w:rPr>
  </w:style>
  <w:style w:type="paragraph" w:styleId="a6">
    <w:name w:val="Balloon Text"/>
    <w:basedOn w:val="a"/>
    <w:link w:val="a7"/>
    <w:uiPriority w:val="99"/>
    <w:semiHidden/>
    <w:unhideWhenUsed/>
    <w:rsid w:val="002340A9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0A9"/>
    <w:rPr>
      <w:rFonts w:ascii="Tahoma" w:eastAsia="Andale Sans UI" w:hAnsi="Tahoma" w:cs="Tahoma"/>
      <w:kern w:val="3"/>
      <w:sz w:val="16"/>
      <w:szCs w:val="16"/>
      <w:lang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A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340A9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4">
    <w:name w:val="Body Text Indent"/>
    <w:basedOn w:val="a"/>
    <w:link w:val="a5"/>
    <w:semiHidden/>
    <w:unhideWhenUsed/>
    <w:rsid w:val="002340A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2340A9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TableContents">
    <w:name w:val="Table Contents"/>
    <w:basedOn w:val="a"/>
    <w:rsid w:val="002340A9"/>
    <w:pPr>
      <w:suppressLineNumbers/>
    </w:pPr>
    <w:rPr>
      <w:lang w:val="de-DE"/>
    </w:rPr>
  </w:style>
  <w:style w:type="paragraph" w:styleId="a6">
    <w:name w:val="Balloon Text"/>
    <w:basedOn w:val="a"/>
    <w:link w:val="a7"/>
    <w:uiPriority w:val="99"/>
    <w:semiHidden/>
    <w:unhideWhenUsed/>
    <w:rsid w:val="002340A9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0A9"/>
    <w:rPr>
      <w:rFonts w:ascii="Tahoma" w:eastAsia="Andale Sans UI" w:hAnsi="Tahoma" w:cs="Tahoma"/>
      <w:kern w:val="3"/>
      <w:sz w:val="16"/>
      <w:szCs w:val="16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2712</Words>
  <Characters>1546</Characters>
  <Application>Microsoft Office Word</Application>
  <DocSecurity>0</DocSecurity>
  <Lines>12</Lines>
  <Paragraphs>8</Paragraphs>
  <ScaleCrop>false</ScaleCrop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2016-12-14T12:41:00Z</cp:lastPrinted>
  <dcterms:created xsi:type="dcterms:W3CDTF">2016-12-14T12:41:00Z</dcterms:created>
  <dcterms:modified xsi:type="dcterms:W3CDTF">2017-01-11T12:48:00Z</dcterms:modified>
</cp:coreProperties>
</file>